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ACE9" w14:textId="77777777" w:rsidR="00A02929" w:rsidRDefault="009349B1" w:rsidP="00411B96">
      <w:pPr>
        <w:spacing w:after="0" w:line="240" w:lineRule="auto"/>
        <w:ind w:right="283" w:firstLine="6946"/>
        <w:jc w:val="both"/>
        <w:rPr>
          <w:rFonts w:ascii="Verdana" w:hAnsi="Verdana"/>
          <w:sz w:val="16"/>
          <w:szCs w:val="16"/>
          <w:lang w:val="en-US"/>
        </w:rPr>
      </w:pPr>
      <w:r w:rsidRPr="00A02929">
        <w:rPr>
          <w:rFonts w:ascii="Verdana" w:hAnsi="Verdana"/>
          <w:sz w:val="16"/>
          <w:szCs w:val="16"/>
          <w:lang w:val="en-US"/>
        </w:rPr>
        <w:t xml:space="preserve">     Eirini </w:t>
      </w:r>
      <w:proofErr w:type="spellStart"/>
      <w:r w:rsidRPr="00A02929">
        <w:rPr>
          <w:rFonts w:ascii="Verdana" w:hAnsi="Verdana"/>
          <w:sz w:val="16"/>
          <w:szCs w:val="16"/>
          <w:lang w:val="en-US"/>
        </w:rPr>
        <w:t>Aivaliotou</w:t>
      </w:r>
      <w:proofErr w:type="spellEnd"/>
      <w:r w:rsidRPr="00A02929">
        <w:rPr>
          <w:rFonts w:ascii="Verdana" w:hAnsi="Verdana"/>
          <w:sz w:val="16"/>
          <w:szCs w:val="16"/>
          <w:lang w:val="en-US"/>
        </w:rPr>
        <w:t>, 263448</w:t>
      </w:r>
      <w:r w:rsidR="006B2A39" w:rsidRPr="00A02929">
        <w:rPr>
          <w:rFonts w:ascii="Verdana" w:hAnsi="Verdana"/>
          <w:sz w:val="16"/>
          <w:szCs w:val="16"/>
          <w:lang w:val="en-US"/>
        </w:rPr>
        <w:t xml:space="preserve"> </w:t>
      </w:r>
    </w:p>
    <w:p w14:paraId="17605CEF" w14:textId="749550F5" w:rsidR="006B2A39" w:rsidRPr="00A02929" w:rsidRDefault="006B2A39" w:rsidP="00411B96">
      <w:pPr>
        <w:spacing w:after="0" w:line="240" w:lineRule="auto"/>
        <w:ind w:right="283" w:firstLine="6946"/>
        <w:jc w:val="both"/>
        <w:rPr>
          <w:rFonts w:ascii="Verdana" w:hAnsi="Verdana"/>
          <w:sz w:val="16"/>
          <w:szCs w:val="16"/>
          <w:lang w:val="en-US"/>
        </w:rPr>
      </w:pPr>
      <w:r w:rsidRPr="00A02929">
        <w:rPr>
          <w:rFonts w:ascii="Verdana" w:hAnsi="Verdana"/>
          <w:sz w:val="16"/>
          <w:szCs w:val="16"/>
          <w:lang w:val="en-US"/>
        </w:rPr>
        <w:t xml:space="preserve">                </w:t>
      </w:r>
    </w:p>
    <w:p w14:paraId="7BC893ED" w14:textId="65C55FC0" w:rsidR="00403BA6" w:rsidRDefault="00A02929" w:rsidP="00403BA6">
      <w:pPr>
        <w:spacing w:after="0" w:line="240" w:lineRule="auto"/>
        <w:ind w:left="-142" w:hanging="425"/>
        <w:jc w:val="center"/>
        <w:rPr>
          <w:rFonts w:ascii="Verdana" w:hAnsi="Verdana"/>
          <w:sz w:val="20"/>
          <w:lang w:val="en-US"/>
        </w:rPr>
      </w:pPr>
      <w:r w:rsidRPr="00A02929">
        <w:rPr>
          <w:rFonts w:ascii="Verdana" w:hAnsi="Verdana"/>
          <w:sz w:val="20"/>
          <w:lang w:val="en-US"/>
        </w:rPr>
        <w:t xml:space="preserve">University of </w:t>
      </w:r>
      <w:r>
        <w:rPr>
          <w:rFonts w:ascii="Verdana" w:hAnsi="Verdana"/>
          <w:sz w:val="20"/>
          <w:lang w:val="en-US"/>
        </w:rPr>
        <w:t>Wroclaw</w:t>
      </w:r>
      <w:r w:rsidRPr="00A02929">
        <w:rPr>
          <w:rFonts w:ascii="Verdana" w:hAnsi="Verdana"/>
          <w:sz w:val="20"/>
          <w:lang w:val="en-US"/>
        </w:rPr>
        <w:t xml:space="preserve">, </w:t>
      </w:r>
      <w:r w:rsidR="00403BA6">
        <w:rPr>
          <w:rFonts w:ascii="Verdana" w:hAnsi="Verdana"/>
          <w:sz w:val="20"/>
          <w:lang w:val="en-US"/>
        </w:rPr>
        <w:t>European Studies (Faculty of Social Science</w:t>
      </w:r>
      <w:r w:rsidR="00B1131D">
        <w:rPr>
          <w:rFonts w:ascii="Verdana" w:hAnsi="Verdana"/>
          <w:sz w:val="20"/>
          <w:lang w:val="en-US"/>
        </w:rPr>
        <w:t>s</w:t>
      </w:r>
      <w:r w:rsidR="00403BA6">
        <w:rPr>
          <w:rFonts w:ascii="Verdana" w:hAnsi="Verdana"/>
          <w:sz w:val="20"/>
          <w:lang w:val="en-US"/>
        </w:rPr>
        <w:t>)</w:t>
      </w:r>
    </w:p>
    <w:p w14:paraId="66DA098C" w14:textId="149B542A" w:rsidR="006B2A39" w:rsidRPr="00A02929" w:rsidRDefault="00A02929" w:rsidP="00403BA6">
      <w:pPr>
        <w:spacing w:after="0" w:line="240" w:lineRule="auto"/>
        <w:ind w:left="-142" w:hanging="425"/>
        <w:jc w:val="center"/>
        <w:rPr>
          <w:rFonts w:ascii="Verdana" w:hAnsi="Verdana"/>
          <w:sz w:val="20"/>
          <w:lang w:val="en-US"/>
        </w:rPr>
      </w:pPr>
      <w:r w:rsidRPr="00A02929">
        <w:rPr>
          <w:rFonts w:ascii="Verdana" w:hAnsi="Verdana"/>
          <w:sz w:val="20"/>
          <w:lang w:val="en-US"/>
        </w:rPr>
        <w:t>Winter Semester 20</w:t>
      </w:r>
      <w:r>
        <w:rPr>
          <w:rFonts w:ascii="Verdana" w:hAnsi="Verdana"/>
          <w:sz w:val="20"/>
          <w:lang w:val="en-US"/>
        </w:rPr>
        <w:t>2</w:t>
      </w:r>
      <w:r w:rsidR="00804835">
        <w:rPr>
          <w:rFonts w:ascii="Verdana" w:hAnsi="Verdana"/>
          <w:sz w:val="20"/>
          <w:lang w:val="en-US"/>
        </w:rPr>
        <w:t>3</w:t>
      </w:r>
      <w:r>
        <w:rPr>
          <w:rFonts w:ascii="Verdana" w:hAnsi="Verdana"/>
          <w:sz w:val="20"/>
          <w:lang w:val="en-US"/>
        </w:rPr>
        <w:t>/202</w:t>
      </w:r>
      <w:r w:rsidR="00804835">
        <w:rPr>
          <w:rFonts w:ascii="Verdana" w:hAnsi="Verdana"/>
          <w:sz w:val="20"/>
          <w:lang w:val="en-US"/>
        </w:rPr>
        <w:t>4</w:t>
      </w:r>
    </w:p>
    <w:p w14:paraId="55AD4010" w14:textId="77777777" w:rsidR="006B2A39" w:rsidRPr="00A0292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  <w:lang w:val="en-US"/>
        </w:rPr>
      </w:pPr>
    </w:p>
    <w:p w14:paraId="727F777B" w14:textId="77777777" w:rsidR="006B2A39" w:rsidRPr="00A0292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  <w:lang w:val="en-US"/>
        </w:rPr>
      </w:pPr>
    </w:p>
    <w:p w14:paraId="1F17A970" w14:textId="47DD39FB" w:rsidR="006B2A39" w:rsidRDefault="00E3665F" w:rsidP="00411B96">
      <w:pPr>
        <w:spacing w:after="0" w:line="240" w:lineRule="auto"/>
        <w:ind w:left="-142" w:hanging="425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COURSE</w:t>
      </w:r>
      <w:r w:rsidR="00EB0831">
        <w:rPr>
          <w:rFonts w:ascii="Verdana" w:hAnsi="Verdana"/>
          <w:b/>
          <w:bCs/>
          <w:sz w:val="20"/>
        </w:rPr>
        <w:t xml:space="preserve"> SYLLABUS</w:t>
      </w:r>
    </w:p>
    <w:p w14:paraId="69CBFBFC" w14:textId="77777777" w:rsidR="006B2A39" w:rsidRPr="00C25B0E" w:rsidRDefault="006B2A39" w:rsidP="006B2A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691"/>
        <w:gridCol w:w="362"/>
        <w:gridCol w:w="3581"/>
      </w:tblGrid>
      <w:tr w:rsidR="006B2A39" w:rsidRPr="00EE032C" w14:paraId="768C363C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BA1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DB4" w14:textId="1C45AACA" w:rsidR="006B2A39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E3665F" w:rsidRPr="00475CBD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5267A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name in English </w:t>
            </w:r>
            <w:r w:rsidR="005C0977">
              <w:rPr>
                <w:rFonts w:ascii="Verdana" w:hAnsi="Verdana"/>
                <w:sz w:val="20"/>
                <w:szCs w:val="20"/>
                <w:lang w:val="en-US"/>
              </w:rPr>
              <w:t>and Polish</w:t>
            </w:r>
          </w:p>
          <w:p w14:paraId="37B5D9CE" w14:textId="2F751A99" w:rsidR="005C0977" w:rsidRDefault="005C0977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C0977">
              <w:rPr>
                <w:rFonts w:ascii="Verdana" w:hAnsi="Verdana"/>
                <w:sz w:val="20"/>
                <w:szCs w:val="20"/>
                <w:lang w:val="en-US"/>
              </w:rPr>
              <w:t>Diasporic groups in the EU and identity formation</w:t>
            </w:r>
          </w:p>
          <w:p w14:paraId="3A8A21AB" w14:textId="2EC018D0" w:rsidR="005C0977" w:rsidRPr="00EE032C" w:rsidRDefault="00EE032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032C">
              <w:rPr>
                <w:rFonts w:ascii="Verdana" w:hAnsi="Verdana"/>
                <w:sz w:val="20"/>
                <w:szCs w:val="20"/>
              </w:rPr>
              <w:t>Dispory w Unii Europejskiej i poczucie tożsamości narodowej</w:t>
            </w:r>
          </w:p>
          <w:p w14:paraId="59679A02" w14:textId="651A7BA5" w:rsidR="009349B1" w:rsidRPr="00EE032C" w:rsidRDefault="009349B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A7FDD" w:rsidRPr="00804835" w14:paraId="6CC71483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6A4" w14:textId="77777777" w:rsidR="00BA7FDD" w:rsidRPr="00C25B0E" w:rsidRDefault="00BA7FDD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940" w14:textId="132C1C5B" w:rsidR="00BA7FDD" w:rsidRPr="00475CBD" w:rsidRDefault="00BA7FD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Instructor: Eirini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Aivaliotou</w:t>
            </w:r>
            <w:proofErr w:type="spellEnd"/>
            <w:r w:rsidR="00AA25D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="005260BF" w:rsidRPr="00B94665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eirini.aivaliotou@uwr.edu.pl</w:t>
              </w:r>
            </w:hyperlink>
            <w:r w:rsidR="00AA25D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A25D1" w:rsidRPr="00804835" w14:paraId="0F2E7998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318" w14:textId="77777777" w:rsidR="00AA25D1" w:rsidRPr="00AE6A6C" w:rsidRDefault="00AA25D1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939" w14:textId="06977F49" w:rsidR="00AA25D1" w:rsidRDefault="00AA25D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Time and Location: Mondays</w:t>
            </w:r>
            <w:r w:rsidR="009239E1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260BF">
              <w:rPr>
                <w:rFonts w:ascii="Verdana" w:hAnsi="Verdana"/>
                <w:sz w:val="20"/>
                <w:szCs w:val="20"/>
                <w:lang w:val="en-US"/>
              </w:rPr>
              <w:t>17:15-19:00, room 216</w:t>
            </w:r>
            <w:r w:rsidR="009239E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E14" w:rsidRPr="00027E14">
              <w:rPr>
                <w:rFonts w:ascii="Verdana" w:hAnsi="Verdana"/>
                <w:sz w:val="20"/>
                <w:szCs w:val="20"/>
                <w:lang w:val="en-US"/>
              </w:rPr>
              <w:t>Koszarowa</w:t>
            </w:r>
            <w:proofErr w:type="spellEnd"/>
            <w:r w:rsidR="00027E14" w:rsidRPr="00027E14">
              <w:rPr>
                <w:rFonts w:ascii="Verdana" w:hAnsi="Verdana"/>
                <w:sz w:val="20"/>
                <w:szCs w:val="20"/>
                <w:lang w:val="en-US"/>
              </w:rPr>
              <w:t xml:space="preserve"> 3, 51-168 </w:t>
            </w:r>
            <w:proofErr w:type="spellStart"/>
            <w:r w:rsidR="00027E14" w:rsidRPr="00027E14">
              <w:rPr>
                <w:rFonts w:ascii="Verdana" w:hAnsi="Verdana"/>
                <w:sz w:val="20"/>
                <w:szCs w:val="20"/>
                <w:lang w:val="en-US"/>
              </w:rPr>
              <w:t>Wrocław</w:t>
            </w:r>
            <w:proofErr w:type="spellEnd"/>
          </w:p>
        </w:tc>
      </w:tr>
      <w:tr w:rsidR="006B2A39" w:rsidRPr="00A02929" w14:paraId="56938DDA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122" w14:textId="77777777" w:rsidR="006B2A39" w:rsidRPr="00AA25D1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094" w14:textId="77777777" w:rsidR="006B2A39" w:rsidRPr="00A02929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02929">
              <w:rPr>
                <w:rFonts w:ascii="Verdana" w:hAnsi="Verdana"/>
                <w:sz w:val="20"/>
                <w:szCs w:val="20"/>
                <w:lang w:val="en-US"/>
              </w:rPr>
              <w:t>Discipline</w:t>
            </w:r>
          </w:p>
          <w:p w14:paraId="3FAFCE8B" w14:textId="60F77956" w:rsidR="006B2A39" w:rsidRPr="00A02929" w:rsidRDefault="00BE40AF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Social Sciences</w:t>
            </w:r>
          </w:p>
        </w:tc>
      </w:tr>
      <w:tr w:rsidR="006B2A39" w:rsidRPr="00C25B0E" w14:paraId="388CCAC6" w14:textId="77777777" w:rsidTr="003E3414">
        <w:trPr>
          <w:trHeight w:val="3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B87D" w14:textId="77777777" w:rsidR="006B2A39" w:rsidRPr="00A0292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86D" w14:textId="76FB691E" w:rsidR="00987344" w:rsidRPr="00C25B0E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Language of instruction</w:t>
            </w:r>
          </w:p>
          <w:p w14:paraId="042FCB09" w14:textId="17C9F044" w:rsidR="006B2A39" w:rsidRPr="00C25B0E" w:rsidRDefault="00987344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6B2A39" w:rsidRPr="00804835" w14:paraId="5A758ED5" w14:textId="77777777" w:rsidTr="003E3414">
        <w:trPr>
          <w:trHeight w:val="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1BE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842" w14:textId="17CE6DDE" w:rsidR="006B2A39" w:rsidRPr="00475CBD" w:rsidRDefault="00A01960" w:rsidP="00475CBD">
            <w:pPr>
              <w:tabs>
                <w:tab w:val="center" w:pos="456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Unit conducting the </w:t>
            </w:r>
            <w:r w:rsidR="00912749" w:rsidRPr="00475CBD">
              <w:rPr>
                <w:rFonts w:ascii="Verdana" w:hAnsi="Verdana"/>
                <w:sz w:val="20"/>
                <w:szCs w:val="20"/>
                <w:lang w:val="en-US"/>
              </w:rPr>
              <w:t>course</w:t>
            </w:r>
          </w:p>
          <w:p w14:paraId="27A75BB2" w14:textId="3B46261E" w:rsidR="006B2A39" w:rsidRPr="00475CBD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Chair of 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>European Studies</w:t>
            </w:r>
            <w:r w:rsidR="00987344">
              <w:rPr>
                <w:rFonts w:ascii="Verdana" w:hAnsi="Verdana"/>
                <w:sz w:val="20"/>
                <w:szCs w:val="20"/>
                <w:lang w:val="en-US"/>
              </w:rPr>
              <w:t xml:space="preserve"> (Faculty of Social Sciences)</w:t>
            </w:r>
          </w:p>
        </w:tc>
      </w:tr>
      <w:tr w:rsidR="006B2A39" w:rsidRPr="00804835" w14:paraId="042F642D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30B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BE3" w14:textId="7970591A" w:rsidR="006B2A39" w:rsidRPr="00A935D5" w:rsidRDefault="00855DE6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935D5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D562A6" w:rsidRPr="00A935D5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Pr="00A935D5">
              <w:rPr>
                <w:rFonts w:ascii="Verdana" w:hAnsi="Verdana"/>
                <w:sz w:val="20"/>
                <w:szCs w:val="20"/>
                <w:lang w:val="en-US"/>
              </w:rPr>
              <w:t xml:space="preserve"> code</w:t>
            </w:r>
            <w:r w:rsidR="00A935D5" w:rsidRPr="00A935D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17110D14" w14:textId="642870EC" w:rsidR="00AA5211" w:rsidRPr="00AA5211" w:rsidRDefault="00682E8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82E8C">
              <w:rPr>
                <w:rFonts w:ascii="Verdana" w:hAnsi="Verdana"/>
                <w:sz w:val="20"/>
                <w:szCs w:val="20"/>
                <w:lang w:val="en-US"/>
              </w:rPr>
              <w:t>26-ES-S2-E3-DGUE</w:t>
            </w:r>
          </w:p>
        </w:tc>
      </w:tr>
      <w:tr w:rsidR="006B2A39" w:rsidRPr="00987344" w14:paraId="28AFBE8C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6C2" w14:textId="77777777" w:rsidR="006B2A39" w:rsidRPr="00AA5211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419" w14:textId="78D51C2B" w:rsidR="006B2A39" w:rsidRPr="00475CBD" w:rsidRDefault="00D078C0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Typ</w:t>
            </w:r>
            <w:r w:rsidR="00F10F0C" w:rsidRPr="00475CBD">
              <w:rPr>
                <w:rFonts w:ascii="Verdana" w:hAnsi="Verdana"/>
                <w:sz w:val="20"/>
                <w:szCs w:val="20"/>
                <w:lang w:val="en-US"/>
              </w:rPr>
              <w:t>e of c</w:t>
            </w:r>
            <w:r w:rsidR="0088378A" w:rsidRPr="00475CBD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</w:p>
          <w:p w14:paraId="5FC521D4" w14:textId="642D4564" w:rsidR="006B2A39" w:rsidRPr="00475CBD" w:rsidRDefault="00B65D4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Mandatory</w:t>
            </w:r>
          </w:p>
        </w:tc>
      </w:tr>
      <w:tr w:rsidR="006B2A39" w:rsidRPr="00C25B0E" w14:paraId="6D2D2D69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659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E33" w14:textId="6775945E" w:rsidR="006B2A39" w:rsidRPr="00C25B0E" w:rsidRDefault="00272AF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major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>)</w:t>
            </w:r>
          </w:p>
          <w:p w14:paraId="03E46CC3" w14:textId="2952E0A7" w:rsidR="006B2A39" w:rsidRPr="00C25B0E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European Studies</w:t>
            </w:r>
          </w:p>
        </w:tc>
      </w:tr>
      <w:tr w:rsidR="006B2A39" w:rsidRPr="00987344" w14:paraId="5753B892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44D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22F" w14:textId="025ADAD6" w:rsidR="006B2A39" w:rsidRPr="00475CBD" w:rsidRDefault="000A0667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Level of studies</w:t>
            </w:r>
          </w:p>
          <w:p w14:paraId="269C5ACA" w14:textId="27FF6281" w:rsidR="006B2A39" w:rsidRPr="00475CBD" w:rsidRDefault="00987344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Second-cycle</w:t>
            </w:r>
          </w:p>
        </w:tc>
      </w:tr>
      <w:tr w:rsidR="006B2A39" w:rsidRPr="00987344" w14:paraId="3BDB44D5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3ED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199" w14:textId="34123276" w:rsidR="006B2A39" w:rsidRPr="00475CBD" w:rsidRDefault="006B4013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Year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475CBD">
              <w:rPr>
                <w:rFonts w:ascii="Verdana" w:hAnsi="Verdana"/>
                <w:sz w:val="20"/>
                <w:szCs w:val="20"/>
                <w:lang w:val="en-US"/>
              </w:rPr>
              <w:t>of studie</w:t>
            </w:r>
            <w:r w:rsidR="005267A3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</w:p>
          <w:p w14:paraId="672CC700" w14:textId="0B72B2D4" w:rsidR="006B2A39" w:rsidRPr="00475CBD" w:rsidRDefault="00987344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</w:tr>
      <w:tr w:rsidR="006B2A39" w:rsidRPr="00C25B0E" w14:paraId="66B71DC9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8E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3FF" w14:textId="24F376E6" w:rsidR="006B2A39" w:rsidRPr="00C25B0E" w:rsidRDefault="00681D83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Semester</w:t>
            </w:r>
          </w:p>
          <w:p w14:paraId="27BBB262" w14:textId="4A20D6BC" w:rsidR="006B2A39" w:rsidRPr="00C25B0E" w:rsidRDefault="00F23C6C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Winter</w:t>
            </w:r>
          </w:p>
        </w:tc>
      </w:tr>
      <w:tr w:rsidR="006B2A39" w:rsidRPr="00987344" w14:paraId="74A4A34F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D1A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332" w14:textId="41DC0EC3" w:rsidR="006B2A39" w:rsidRPr="00475CBD" w:rsidRDefault="005351C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Class type</w:t>
            </w:r>
            <w:r w:rsidR="00712A5F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and the number of hours</w:t>
            </w:r>
          </w:p>
          <w:p w14:paraId="70EDFA34" w14:textId="5E45A72D" w:rsidR="006B2A39" w:rsidRPr="00475CBD" w:rsidRDefault="001C63C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Seminar</w:t>
            </w:r>
            <w:r w:rsidR="005267A3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 xml:space="preserve"> 30</w:t>
            </w:r>
            <w:r w:rsidR="00987344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rs</w:t>
            </w:r>
          </w:p>
        </w:tc>
      </w:tr>
      <w:tr w:rsidR="006B2A39" w:rsidRPr="00804835" w14:paraId="1FF4F516" w14:textId="77777777" w:rsidTr="003E3414">
        <w:trPr>
          <w:trHeight w:val="75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8CE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175" w14:textId="77777777" w:rsidR="006B2A39" w:rsidRPr="00475CBD" w:rsidRDefault="00F77B2A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Prerequisites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regarding knowledge, skills, and social competence</w:t>
            </w:r>
            <w:r w:rsidR="00993F35" w:rsidRPr="00475CBD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for t</w:t>
            </w:r>
            <w:r w:rsidR="00FB0D24" w:rsidRPr="00475CBD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>e c</w:t>
            </w:r>
            <w:r w:rsidR="005B19EA" w:rsidRPr="00475CBD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</w:p>
          <w:p w14:paraId="428902D3" w14:textId="61F1861C" w:rsidR="006B2A39" w:rsidRDefault="00560C24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General know</w:t>
            </w:r>
            <w:r w:rsidR="004953B3">
              <w:rPr>
                <w:rFonts w:ascii="Verdana" w:hAnsi="Verdana"/>
                <w:sz w:val="20"/>
                <w:szCs w:val="20"/>
                <w:lang w:val="en-US"/>
              </w:rPr>
              <w:t>ledge about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7174C">
              <w:rPr>
                <w:rFonts w:ascii="Verdana" w:hAnsi="Verdana"/>
                <w:sz w:val="20"/>
                <w:szCs w:val="20"/>
                <w:lang w:val="en-US"/>
              </w:rPr>
              <w:t>migration studies</w:t>
            </w:r>
          </w:p>
          <w:p w14:paraId="79B46396" w14:textId="115CFCBB" w:rsidR="00560C24" w:rsidRDefault="0017174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General knowledge about </w:t>
            </w:r>
            <w:r w:rsidR="00634BCF">
              <w:rPr>
                <w:rFonts w:ascii="Verdana" w:hAnsi="Verdana"/>
                <w:sz w:val="20"/>
                <w:szCs w:val="20"/>
                <w:lang w:val="en-US"/>
              </w:rPr>
              <w:t>globalization and global cities</w:t>
            </w:r>
          </w:p>
          <w:p w14:paraId="4134C1A0" w14:textId="11810AA6" w:rsidR="00560C24" w:rsidRPr="00475CBD" w:rsidRDefault="00560C24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Ability to 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>discuss in an academic level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8191D">
              <w:rPr>
                <w:rFonts w:ascii="Verdana" w:hAnsi="Verdana"/>
                <w:sz w:val="20"/>
                <w:szCs w:val="20"/>
                <w:lang w:val="en-US"/>
              </w:rPr>
              <w:t>within groups</w:t>
            </w:r>
          </w:p>
        </w:tc>
      </w:tr>
      <w:tr w:rsidR="006B2A39" w:rsidRPr="00804835" w14:paraId="732EAEA4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1E4B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9CC" w14:textId="77777777" w:rsidR="006B2A39" w:rsidRPr="00072CC9" w:rsidRDefault="004B1F0E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72CC9">
              <w:rPr>
                <w:rFonts w:ascii="Verdana" w:hAnsi="Verdana"/>
                <w:sz w:val="20"/>
                <w:szCs w:val="20"/>
                <w:lang w:val="en-US"/>
              </w:rPr>
              <w:t>Educational aims</w:t>
            </w:r>
          </w:p>
          <w:p w14:paraId="37312394" w14:textId="37D3A7F6" w:rsidR="006B2A39" w:rsidRPr="00072CC9" w:rsidRDefault="00A37BFB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In this seminar, we will be in-depth discussing </w:t>
            </w:r>
            <w:r w:rsidR="005D3D5B">
              <w:rPr>
                <w:rFonts w:ascii="Verdana" w:hAnsi="Verdana"/>
                <w:sz w:val="20"/>
                <w:szCs w:val="20"/>
                <w:lang w:val="en-US"/>
              </w:rPr>
              <w:t xml:space="preserve">about migration, migrants’ </w:t>
            </w:r>
            <w:r w:rsidR="00240178">
              <w:rPr>
                <w:rFonts w:ascii="Verdana" w:hAnsi="Verdana"/>
                <w:sz w:val="20"/>
                <w:szCs w:val="20"/>
                <w:lang w:val="en-US"/>
              </w:rPr>
              <w:t>networks,</w:t>
            </w:r>
            <w:r w:rsidR="005D3D5B">
              <w:rPr>
                <w:rFonts w:ascii="Verdana" w:hAnsi="Verdana"/>
                <w:sz w:val="20"/>
                <w:szCs w:val="20"/>
                <w:lang w:val="en-US"/>
              </w:rPr>
              <w:t xml:space="preserve"> and the formation of diasporas. </w:t>
            </w:r>
            <w:r w:rsidR="00240178">
              <w:rPr>
                <w:rFonts w:ascii="Verdana" w:hAnsi="Verdana"/>
                <w:sz w:val="20"/>
                <w:szCs w:val="20"/>
                <w:lang w:val="en-US"/>
              </w:rPr>
              <w:t>The notion of a diasporic group has been widely discussed by scholars</w:t>
            </w:r>
            <w:r w:rsidR="00F10B1F">
              <w:rPr>
                <w:rFonts w:ascii="Verdana" w:hAnsi="Verdana"/>
                <w:sz w:val="20"/>
                <w:szCs w:val="20"/>
                <w:lang w:val="en-US"/>
              </w:rPr>
              <w:t xml:space="preserve">. The debated topic is, who can be part of a diaspora, </w:t>
            </w:r>
            <w:r w:rsidR="00995C0B">
              <w:rPr>
                <w:rFonts w:ascii="Verdana" w:hAnsi="Verdana"/>
                <w:sz w:val="20"/>
                <w:szCs w:val="20"/>
                <w:lang w:val="en-US"/>
              </w:rPr>
              <w:t xml:space="preserve">is it a term that shall be allocated to groups that have undergone a traumatic experience or </w:t>
            </w:r>
            <w:r w:rsidR="00412F99">
              <w:rPr>
                <w:rFonts w:ascii="Verdana" w:hAnsi="Verdana"/>
                <w:sz w:val="20"/>
                <w:szCs w:val="20"/>
                <w:lang w:val="en-US"/>
              </w:rPr>
              <w:t>shall it be extended to</w:t>
            </w:r>
            <w:r w:rsidR="00F071FA">
              <w:rPr>
                <w:rFonts w:ascii="Verdana" w:hAnsi="Verdana"/>
                <w:sz w:val="20"/>
                <w:szCs w:val="20"/>
                <w:lang w:val="en-US"/>
              </w:rPr>
              <w:t xml:space="preserve"> groups of </w:t>
            </w:r>
            <w:r w:rsidR="00141BA7">
              <w:rPr>
                <w:rFonts w:ascii="Verdana" w:hAnsi="Verdana"/>
                <w:sz w:val="20"/>
                <w:szCs w:val="20"/>
                <w:lang w:val="en-US"/>
              </w:rPr>
              <w:t xml:space="preserve">compatriots, who live in a </w:t>
            </w:r>
            <w:r w:rsidR="00332F0A">
              <w:rPr>
                <w:rFonts w:ascii="Verdana" w:hAnsi="Verdana"/>
                <w:sz w:val="20"/>
                <w:szCs w:val="20"/>
                <w:lang w:val="en-US"/>
              </w:rPr>
              <w:t>foreign country</w:t>
            </w:r>
            <w:r w:rsidR="00141BA7">
              <w:rPr>
                <w:rFonts w:ascii="Verdana" w:hAnsi="Verdana"/>
                <w:sz w:val="20"/>
                <w:szCs w:val="20"/>
                <w:lang w:val="en-US"/>
              </w:rPr>
              <w:t xml:space="preserve">? </w:t>
            </w:r>
            <w:r w:rsidR="00332F0A">
              <w:rPr>
                <w:rFonts w:ascii="Verdana" w:hAnsi="Verdana"/>
                <w:sz w:val="20"/>
                <w:szCs w:val="20"/>
                <w:lang w:val="en-US"/>
              </w:rPr>
              <w:t xml:space="preserve">The complexity of the issue has created a bulk of intriguing literature stemming from different disciplines. </w:t>
            </w:r>
            <w:r w:rsidR="00056D8D">
              <w:rPr>
                <w:rFonts w:ascii="Verdana" w:hAnsi="Verdana"/>
                <w:sz w:val="20"/>
                <w:szCs w:val="20"/>
                <w:lang w:val="en-US"/>
              </w:rPr>
              <w:t>The topic of identity creation</w:t>
            </w:r>
            <w:r w:rsidR="009A6B28">
              <w:rPr>
                <w:rFonts w:ascii="Verdana" w:hAnsi="Verdana"/>
                <w:sz w:val="20"/>
                <w:szCs w:val="20"/>
                <w:lang w:val="en-US"/>
              </w:rPr>
              <w:t>, the idea</w:t>
            </w:r>
            <w:r w:rsidR="00A01586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9A6B28">
              <w:rPr>
                <w:rFonts w:ascii="Verdana" w:hAnsi="Verdana"/>
                <w:sz w:val="20"/>
                <w:szCs w:val="20"/>
                <w:lang w:val="en-US"/>
              </w:rPr>
              <w:t xml:space="preserve"> of the nation</w:t>
            </w:r>
            <w:r w:rsidR="001B303E">
              <w:rPr>
                <w:rFonts w:ascii="Verdana" w:hAnsi="Verdana"/>
                <w:sz w:val="20"/>
                <w:szCs w:val="20"/>
                <w:lang w:val="en-US"/>
              </w:rPr>
              <w:t xml:space="preserve"> and homeland and </w:t>
            </w:r>
            <w:r w:rsidR="00CA11F3">
              <w:rPr>
                <w:rFonts w:ascii="Verdana" w:hAnsi="Verdana"/>
                <w:sz w:val="20"/>
                <w:szCs w:val="20"/>
                <w:lang w:val="en-US"/>
              </w:rPr>
              <w:t xml:space="preserve">the feelings of longing and belonging are all </w:t>
            </w:r>
            <w:r w:rsidR="00A01586">
              <w:rPr>
                <w:rFonts w:ascii="Verdana" w:hAnsi="Verdana"/>
                <w:sz w:val="20"/>
                <w:szCs w:val="20"/>
                <w:lang w:val="en-US"/>
              </w:rPr>
              <w:t>going to be analyzed during th</w:t>
            </w:r>
            <w:r w:rsidR="001D5503">
              <w:rPr>
                <w:rFonts w:ascii="Verdana" w:hAnsi="Verdana"/>
                <w:sz w:val="20"/>
                <w:szCs w:val="20"/>
                <w:lang w:val="en-US"/>
              </w:rPr>
              <w:t>is</w:t>
            </w:r>
            <w:r w:rsidR="00A01586">
              <w:rPr>
                <w:rFonts w:ascii="Verdana" w:hAnsi="Verdana"/>
                <w:sz w:val="20"/>
                <w:szCs w:val="20"/>
                <w:lang w:val="en-US"/>
              </w:rPr>
              <w:t xml:space="preserve"> seminar.</w:t>
            </w:r>
          </w:p>
        </w:tc>
      </w:tr>
      <w:tr w:rsidR="006B2A39" w:rsidRPr="00A02929" w14:paraId="0F258BDB" w14:textId="77777777" w:rsidTr="003E3414">
        <w:trPr>
          <w:trHeight w:val="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D86" w14:textId="77777777" w:rsidR="006B2A39" w:rsidRPr="00072CC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652" w14:textId="0C240916" w:rsidR="007C4748" w:rsidRDefault="0073761F" w:rsidP="0098191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62480">
              <w:rPr>
                <w:rFonts w:ascii="Verdana" w:hAnsi="Verdana"/>
                <w:sz w:val="20"/>
                <w:szCs w:val="20"/>
                <w:lang w:val="en-US"/>
              </w:rPr>
              <w:t>Course content</w:t>
            </w:r>
            <w:r w:rsidR="007C4748">
              <w:rPr>
                <w:rFonts w:ascii="Verdana" w:hAnsi="Verdana"/>
                <w:sz w:val="20"/>
                <w:szCs w:val="20"/>
                <w:lang w:val="en-US"/>
              </w:rPr>
              <w:t>- implemented on</w:t>
            </w:r>
            <w:r w:rsidR="00700C8F">
              <w:rPr>
                <w:rFonts w:ascii="Verdana" w:hAnsi="Verdana"/>
                <w:sz w:val="20"/>
                <w:szCs w:val="20"/>
                <w:lang w:val="en-US"/>
              </w:rPr>
              <w:t xml:space="preserve"> site</w:t>
            </w:r>
          </w:p>
          <w:p w14:paraId="4D590C77" w14:textId="77777777" w:rsidR="0098191D" w:rsidRDefault="00062480" w:rsidP="0098191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6248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4F94710F" w14:textId="086AC0B5" w:rsidR="000E6B2A" w:rsidRDefault="000E6B2A" w:rsidP="000E6B2A">
            <w:pPr>
              <w:spacing w:after="0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1.</w:t>
            </w:r>
            <w:r>
              <w:rPr>
                <w:lang w:val="en-US"/>
              </w:rPr>
              <w:t xml:space="preserve"> </w:t>
            </w:r>
            <w:r w:rsidR="003D1A9D" w:rsidRPr="003D1A9D">
              <w:rPr>
                <w:lang w:val="en-US"/>
              </w:rPr>
              <w:t>Introduction to our seminar, sign up for presentations, discussion</w:t>
            </w:r>
            <w:r w:rsidR="003D1A9D">
              <w:rPr>
                <w:lang w:val="en-US"/>
              </w:rPr>
              <w:t xml:space="preserve"> about course requirements.</w:t>
            </w:r>
            <w:r w:rsidRPr="00326DF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</w:p>
          <w:p w14:paraId="0CC23281" w14:textId="4DF0DB72" w:rsidR="000E6B2A" w:rsidRDefault="000E6B2A" w:rsidP="000E6B2A">
            <w:pPr>
              <w:spacing w:after="0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2.</w:t>
            </w:r>
            <w:r>
              <w:rPr>
                <w:lang w:val="en-US"/>
              </w:rPr>
              <w:t xml:space="preserve"> </w:t>
            </w:r>
            <w:r w:rsidR="00D21C9E">
              <w:rPr>
                <w:lang w:val="en-US"/>
              </w:rPr>
              <w:t>Introduction to Diasporas and migration networks</w:t>
            </w:r>
            <w:r w:rsidR="0061761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D539A03" w14:textId="2C1F8D2B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3.</w:t>
            </w:r>
            <w:r>
              <w:rPr>
                <w:lang w:val="en-US"/>
              </w:rPr>
              <w:t xml:space="preserve"> </w:t>
            </w:r>
            <w:r w:rsidR="00617612">
              <w:rPr>
                <w:color w:val="000000"/>
                <w:lang w:val="en-US"/>
              </w:rPr>
              <w:t xml:space="preserve">Longing and </w:t>
            </w:r>
            <w:proofErr w:type="gramStart"/>
            <w:r w:rsidR="00617612">
              <w:rPr>
                <w:color w:val="000000"/>
                <w:lang w:val="en-US"/>
              </w:rPr>
              <w:t>Belonging</w:t>
            </w:r>
            <w:proofErr w:type="gramEnd"/>
            <w:r>
              <w:rPr>
                <w:lang w:val="en-US"/>
              </w:rPr>
              <w:tab/>
            </w:r>
            <w:r w:rsidR="00617612">
              <w:rPr>
                <w:lang w:val="en-US"/>
              </w:rPr>
              <w:t>.</w:t>
            </w:r>
            <w:r>
              <w:rPr>
                <w:lang w:val="en-US"/>
              </w:rPr>
              <w:tab/>
            </w:r>
          </w:p>
          <w:p w14:paraId="5B48284D" w14:textId="7B093710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4.</w:t>
            </w:r>
            <w:r>
              <w:rPr>
                <w:lang w:val="en-US"/>
              </w:rPr>
              <w:t xml:space="preserve"> </w:t>
            </w:r>
            <w:r w:rsidR="00617612">
              <w:rPr>
                <w:lang w:val="en-US"/>
              </w:rPr>
              <w:t>Diasporas and media representation.</w:t>
            </w:r>
          </w:p>
          <w:p w14:paraId="7A3EE930" w14:textId="298F68FA" w:rsidR="000E6B2A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5.</w:t>
            </w:r>
            <w:r>
              <w:rPr>
                <w:lang w:val="en-US"/>
              </w:rPr>
              <w:t xml:space="preserve"> </w:t>
            </w:r>
            <w:r w:rsidR="00617612">
              <w:rPr>
                <w:color w:val="000000"/>
                <w:lang w:val="en-US"/>
              </w:rPr>
              <w:t>Diasporic groups and entrepreneurship.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A84C0C2" w14:textId="64C599B0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6.</w:t>
            </w:r>
            <w:r>
              <w:rPr>
                <w:lang w:val="en-US"/>
              </w:rPr>
              <w:t xml:space="preserve"> </w:t>
            </w:r>
            <w:r w:rsidR="00617612">
              <w:rPr>
                <w:color w:val="000000"/>
                <w:lang w:val="en-US"/>
              </w:rPr>
              <w:t xml:space="preserve">Imagined communities and </w:t>
            </w:r>
            <w:r w:rsidR="00C42ABA">
              <w:rPr>
                <w:color w:val="000000"/>
                <w:lang w:val="en-US"/>
              </w:rPr>
              <w:t>collective memory</w:t>
            </w:r>
            <w:r w:rsidR="00846D11">
              <w:rPr>
                <w:color w:val="000000"/>
                <w:lang w:val="en-US"/>
              </w:rPr>
              <w:t xml:space="preserve"> of </w:t>
            </w:r>
            <w:r w:rsidR="00C42ABA">
              <w:rPr>
                <w:color w:val="000000"/>
                <w:lang w:val="en-US"/>
              </w:rPr>
              <w:t xml:space="preserve">the </w:t>
            </w:r>
            <w:r w:rsidR="00846D11">
              <w:rPr>
                <w:color w:val="000000"/>
                <w:lang w:val="en-US"/>
              </w:rPr>
              <w:t>homeland</w:t>
            </w:r>
            <w:r w:rsidR="005A5DBD">
              <w:rPr>
                <w:color w:val="000000"/>
                <w:lang w:val="en-US"/>
              </w:rPr>
              <w:t>.</w:t>
            </w:r>
          </w:p>
          <w:p w14:paraId="31E3C917" w14:textId="0285DEEB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lastRenderedPageBreak/>
              <w:t>Week 7.</w:t>
            </w:r>
            <w:r>
              <w:rPr>
                <w:lang w:val="en-US"/>
              </w:rPr>
              <w:t xml:space="preserve"> </w:t>
            </w:r>
            <w:r w:rsidR="00C42ABA">
              <w:rPr>
                <w:color w:val="000000"/>
                <w:lang w:val="en-US"/>
              </w:rPr>
              <w:t xml:space="preserve">Remittances and </w:t>
            </w:r>
            <w:r w:rsidR="005A5DBD">
              <w:rPr>
                <w:color w:val="000000"/>
                <w:lang w:val="en-US"/>
              </w:rPr>
              <w:t>nation building.</w:t>
            </w:r>
          </w:p>
          <w:p w14:paraId="0AA63F71" w14:textId="596E18DD" w:rsidR="000E6B2A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8.</w:t>
            </w:r>
            <w:r>
              <w:rPr>
                <w:lang w:val="en-US"/>
              </w:rPr>
              <w:t xml:space="preserve"> </w:t>
            </w:r>
            <w:r w:rsidR="00226EA3">
              <w:rPr>
                <w:lang w:val="en-US"/>
              </w:rPr>
              <w:t xml:space="preserve"> Migrants’ networks and integration at the destination country.</w:t>
            </w:r>
            <w:r>
              <w:rPr>
                <w:lang w:val="en-US"/>
              </w:rPr>
              <w:t xml:space="preserve">     </w:t>
            </w:r>
          </w:p>
          <w:p w14:paraId="73144EB2" w14:textId="5A51E4A5" w:rsidR="009307A6" w:rsidRDefault="000E6B2A" w:rsidP="000E6B2A">
            <w:pPr>
              <w:spacing w:after="0" w:line="240" w:lineRule="auto"/>
              <w:rPr>
                <w:lang w:val="en-US"/>
              </w:rPr>
            </w:pPr>
            <w:r w:rsidRPr="00A84F27">
              <w:rPr>
                <w:b/>
                <w:bCs/>
                <w:lang w:val="en-US"/>
              </w:rPr>
              <w:t>Week 9.</w:t>
            </w:r>
            <w:r>
              <w:rPr>
                <w:lang w:val="en-US"/>
              </w:rPr>
              <w:t xml:space="preserve"> </w:t>
            </w:r>
            <w:r w:rsidR="00226EA3">
              <w:rPr>
                <w:lang w:val="en-US"/>
              </w:rPr>
              <w:t xml:space="preserve"> Second generation</w:t>
            </w:r>
            <w:r w:rsidR="009307A6">
              <w:rPr>
                <w:lang w:val="en-US"/>
              </w:rPr>
              <w:t xml:space="preserve"> migrants and stories of returnees.</w:t>
            </w:r>
          </w:p>
          <w:p w14:paraId="0E5F984B" w14:textId="78E6A2E5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10.</w:t>
            </w:r>
            <w:r>
              <w:rPr>
                <w:lang w:val="en-US"/>
              </w:rPr>
              <w:t xml:space="preserve"> </w:t>
            </w:r>
            <w:r w:rsidR="00C24F25">
              <w:rPr>
                <w:lang w:val="en-US"/>
              </w:rPr>
              <w:t>Diasporas and dark past</w:t>
            </w:r>
            <w:r w:rsidR="002A437D">
              <w:rPr>
                <w:lang w:val="en-US"/>
              </w:rPr>
              <w:t xml:space="preserve"> with the country of origin.</w:t>
            </w:r>
          </w:p>
          <w:p w14:paraId="0462297A" w14:textId="2C98B9A0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11.</w:t>
            </w:r>
            <w:r>
              <w:rPr>
                <w:lang w:val="en-US"/>
              </w:rPr>
              <w:t xml:space="preserve"> </w:t>
            </w:r>
            <w:r w:rsidR="002A437D">
              <w:rPr>
                <w:lang w:val="en-US"/>
              </w:rPr>
              <w:t>Disputes on the notion of diaspora.</w:t>
            </w: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tab/>
            </w:r>
          </w:p>
          <w:p w14:paraId="44DDD196" w14:textId="77777777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12.</w:t>
            </w:r>
            <w:r>
              <w:rPr>
                <w:lang w:val="en-US"/>
              </w:rPr>
              <w:t xml:space="preserve">  Qualitative research planning and academic essay writing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                  </w:t>
            </w:r>
            <w:r>
              <w:rPr>
                <w:lang w:val="en-US"/>
              </w:rPr>
              <w:tab/>
            </w:r>
          </w:p>
          <w:p w14:paraId="0CBE3E0A" w14:textId="77777777" w:rsidR="000E6B2A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13.</w:t>
            </w:r>
            <w:r>
              <w:rPr>
                <w:lang w:val="en-US"/>
              </w:rPr>
              <w:t xml:space="preserve"> Student </w:t>
            </w:r>
            <w:proofErr w:type="gramStart"/>
            <w:r>
              <w:rPr>
                <w:lang w:val="en-US"/>
              </w:rPr>
              <w:t>presentations’</w:t>
            </w:r>
            <w:proofErr w:type="gramEnd"/>
            <w:r>
              <w:rPr>
                <w:lang w:val="en-US"/>
              </w:rPr>
              <w:t xml:space="preserve"> and discussion</w:t>
            </w:r>
            <w:r w:rsidRPr="00326DF3">
              <w:rPr>
                <w:lang w:val="en-US"/>
              </w:rPr>
              <w:tab/>
            </w:r>
          </w:p>
          <w:p w14:paraId="795EB13D" w14:textId="77777777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14.</w:t>
            </w:r>
            <w:r>
              <w:rPr>
                <w:lang w:val="en-US"/>
              </w:rPr>
              <w:t xml:space="preserve"> Student </w:t>
            </w:r>
            <w:proofErr w:type="gramStart"/>
            <w:r>
              <w:rPr>
                <w:lang w:val="en-US"/>
              </w:rPr>
              <w:t>presentations’</w:t>
            </w:r>
            <w:proofErr w:type="gramEnd"/>
            <w:r>
              <w:rPr>
                <w:lang w:val="en-US"/>
              </w:rPr>
              <w:t xml:space="preserve"> and discussion</w:t>
            </w:r>
          </w:p>
          <w:p w14:paraId="022CE3A3" w14:textId="50D3775E" w:rsidR="006B2A39" w:rsidRPr="000E6B2A" w:rsidRDefault="000E6B2A" w:rsidP="000E6B2A">
            <w:pPr>
              <w:spacing w:after="0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D263BF">
              <w:rPr>
                <w:b/>
                <w:bCs/>
                <w:lang w:val="en-US"/>
              </w:rPr>
              <w:t>Week 15.</w:t>
            </w:r>
            <w:r>
              <w:rPr>
                <w:lang w:val="en-US"/>
              </w:rPr>
              <w:t xml:space="preserve">  </w:t>
            </w:r>
            <w:r w:rsidR="00F6415A">
              <w:rPr>
                <w:lang w:val="en-US"/>
              </w:rPr>
              <w:t xml:space="preserve">Reflections </w:t>
            </w:r>
            <w:r>
              <w:rPr>
                <w:lang w:val="en-US"/>
              </w:rPr>
              <w:t>o</w:t>
            </w:r>
            <w:r w:rsidR="00F462AB">
              <w:rPr>
                <w:lang w:val="en-US"/>
              </w:rPr>
              <w:t>n</w:t>
            </w:r>
            <w:r>
              <w:rPr>
                <w:lang w:val="en-US"/>
              </w:rPr>
              <w:t xml:space="preserve"> the course</w:t>
            </w:r>
            <w:r w:rsidRPr="00A84F27">
              <w:rPr>
                <w:lang w:val="en-US"/>
              </w:rPr>
              <w:t xml:space="preserve">                     </w:t>
            </w:r>
          </w:p>
        </w:tc>
      </w:tr>
      <w:tr w:rsidR="00853F92" w:rsidRPr="00804835" w14:paraId="4F4442E6" w14:textId="77777777" w:rsidTr="003E3414">
        <w:trPr>
          <w:trHeight w:val="94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30769" w14:textId="65485292" w:rsidR="00853F92" w:rsidRPr="00475CBD" w:rsidRDefault="00853F92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021" w14:textId="77777777" w:rsidR="00853F92" w:rsidRPr="00C25B0E" w:rsidRDefault="00853F92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Intended learning outcomes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D56" w14:textId="4EBC19DE" w:rsidR="0098191D" w:rsidRPr="00475CBD" w:rsidRDefault="007C49FB" w:rsidP="007C49F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The students after this seminar should </w:t>
            </w:r>
            <w:r w:rsidR="004C7793">
              <w:rPr>
                <w:rFonts w:ascii="Verdana" w:hAnsi="Verdana"/>
                <w:sz w:val="20"/>
                <w:szCs w:val="20"/>
                <w:lang w:val="en-US"/>
              </w:rPr>
              <w:t>have a</w:t>
            </w:r>
            <w:r w:rsidR="006E40C4">
              <w:rPr>
                <w:rFonts w:ascii="Verdana" w:hAnsi="Verdana"/>
                <w:sz w:val="20"/>
                <w:szCs w:val="20"/>
                <w:lang w:val="en-US"/>
              </w:rPr>
              <w:t xml:space="preserve"> full understanding of the diasporic groups, the networks that support them</w:t>
            </w:r>
            <w:r w:rsidR="00367C08">
              <w:rPr>
                <w:rFonts w:ascii="Verdana" w:hAnsi="Verdana"/>
                <w:sz w:val="20"/>
                <w:szCs w:val="20"/>
                <w:lang w:val="en-US"/>
              </w:rPr>
              <w:t xml:space="preserve"> and </w:t>
            </w:r>
            <w:r w:rsidR="006E40C4">
              <w:rPr>
                <w:rFonts w:ascii="Verdana" w:hAnsi="Verdana"/>
                <w:sz w:val="20"/>
                <w:szCs w:val="20"/>
                <w:lang w:val="en-US"/>
              </w:rPr>
              <w:t>their relationship with the homeland and the destination country</w:t>
            </w:r>
            <w:r w:rsidR="00367C08">
              <w:rPr>
                <w:rFonts w:ascii="Verdana" w:hAnsi="Verdana"/>
                <w:sz w:val="20"/>
                <w:szCs w:val="20"/>
                <w:lang w:val="en-US"/>
              </w:rPr>
              <w:t xml:space="preserve">. An interdisciplinary comprehension </w:t>
            </w:r>
            <w:r w:rsidR="00563674">
              <w:rPr>
                <w:rFonts w:ascii="Verdana" w:hAnsi="Verdana"/>
                <w:sz w:val="20"/>
                <w:szCs w:val="20"/>
                <w:lang w:val="en-US"/>
              </w:rPr>
              <w:t xml:space="preserve">should be achieved </w:t>
            </w:r>
            <w:r w:rsidR="00F83362">
              <w:rPr>
                <w:rFonts w:ascii="Verdana" w:hAnsi="Verdana"/>
                <w:sz w:val="20"/>
                <w:szCs w:val="20"/>
                <w:lang w:val="en-US"/>
              </w:rPr>
              <w:t>related to migration studies.</w:t>
            </w:r>
          </w:p>
        </w:tc>
      </w:tr>
      <w:tr w:rsidR="00853F92" w:rsidRPr="00804835" w14:paraId="26DDA349" w14:textId="77777777" w:rsidTr="003E3414">
        <w:trPr>
          <w:trHeight w:val="124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FD5C" w14:textId="3C89F033" w:rsidR="00853F92" w:rsidRPr="00475CBD" w:rsidRDefault="00853F92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6AD" w14:textId="365BFFA2" w:rsidR="00853F92" w:rsidRPr="00987344" w:rsidRDefault="00853F92" w:rsidP="003E341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60A" w14:textId="6DE2F19D" w:rsidR="00853F92" w:rsidRPr="00AE6A6C" w:rsidRDefault="00853F92" w:rsidP="007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53F92" w:rsidRPr="00804835" w14:paraId="1DD065B4" w14:textId="77777777" w:rsidTr="00F83362">
        <w:trPr>
          <w:trHeight w:val="5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B7A5" w14:textId="77777777" w:rsidR="00853F92" w:rsidRPr="00AE6A6C" w:rsidRDefault="00853F92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C4F" w14:textId="77777777" w:rsidR="00853F92" w:rsidRPr="00AE6A6C" w:rsidRDefault="00853F92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01A" w14:textId="77777777" w:rsidR="00853F92" w:rsidRPr="00AE6A6C" w:rsidRDefault="00853F92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804835" w14:paraId="68C21E1A" w14:textId="77777777" w:rsidTr="003E3414">
        <w:trPr>
          <w:trHeight w:val="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669" w14:textId="77777777" w:rsidR="006B2A39" w:rsidRPr="00AE6A6C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3C5" w14:textId="0CCBFFD0" w:rsidR="00B33541" w:rsidRDefault="00D36549" w:rsidP="0038038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Mandatory reading list </w:t>
            </w:r>
            <w:r w:rsidRPr="00475CBD">
              <w:rPr>
                <w:rFonts w:ascii="Verdana" w:hAnsi="Verdana"/>
                <w:i/>
                <w:sz w:val="20"/>
                <w:szCs w:val="20"/>
                <w:lang w:val="en-US"/>
              </w:rPr>
              <w:t>(resources,</w:t>
            </w:r>
            <w:r w:rsidR="00380381" w:rsidRPr="00475CBD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studies, manuals, etc.)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57CE48A8" w14:textId="77777777" w:rsidR="00835DFF" w:rsidRDefault="00835DFF" w:rsidP="00B335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2F4D1D7" w14:textId="77777777" w:rsidR="003E4117" w:rsidRDefault="00835DFF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1. </w:t>
            </w:r>
            <w:r w:rsidR="001D4DC5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Anderson, B. (1983). </w:t>
            </w:r>
            <w:r w:rsidR="001D4DC5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Imagined communities: reflections on the origin and spread of nationalism</w:t>
            </w:r>
            <w:r w:rsidR="001D4DC5" w:rsidRPr="00FE37AB">
              <w:rPr>
                <w:rFonts w:ascii="Verdana" w:hAnsi="Verdana"/>
                <w:color w:val="000000"/>
                <w:sz w:val="20"/>
                <w:szCs w:val="20"/>
              </w:rPr>
              <w:t>. London</w:t>
            </w:r>
            <w:r w:rsidR="00943F59" w:rsidRPr="00FE37A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1D4DC5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 New York: Verso.</w:t>
            </w:r>
          </w:p>
          <w:p w14:paraId="3821F408" w14:textId="77777777" w:rsidR="003E4117" w:rsidRDefault="00835DFF" w:rsidP="00CB513E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2. </w:t>
            </w:r>
            <w:r w:rsidR="00943F59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Pattie, S. P. (1999). Longing and Belonging: Issues of Homeland in Armenian Diaspora. Political and Legal Anthropology Review, 22(2), 80–92. </w:t>
            </w:r>
            <w:hyperlink r:id="rId9" w:history="1">
              <w:r w:rsidR="00943F59" w:rsidRPr="00FE37AB">
                <w:rPr>
                  <w:rStyle w:val="Hyperlink"/>
                  <w:rFonts w:ascii="Verdana" w:hAnsi="Verdana"/>
                  <w:sz w:val="20"/>
                  <w:szCs w:val="20"/>
                </w:rPr>
                <w:t>http://www.jstor.org/stable/24510868</w:t>
              </w:r>
            </w:hyperlink>
            <w:r w:rsidR="00943F59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091B7B1" w14:textId="77777777" w:rsidR="003E4117" w:rsidRDefault="00835DFF" w:rsidP="00DE51ED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3.  </w:t>
            </w:r>
            <w:proofErr w:type="spellStart"/>
            <w:r w:rsidR="00CB513E" w:rsidRPr="00FE37AB">
              <w:rPr>
                <w:rFonts w:ascii="Verdana" w:hAnsi="Verdana"/>
                <w:color w:val="000000"/>
                <w:sz w:val="20"/>
                <w:szCs w:val="20"/>
              </w:rPr>
              <w:t>Ziemer</w:t>
            </w:r>
            <w:proofErr w:type="spellEnd"/>
            <w:r w:rsidR="00CB513E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, U. and Roberts, S.P. (2016). </w:t>
            </w:r>
            <w:r w:rsidR="00CB513E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East European diasporas, </w:t>
            </w:r>
            <w:proofErr w:type="gramStart"/>
            <w:r w:rsidR="00CB513E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migration</w:t>
            </w:r>
            <w:proofErr w:type="gramEnd"/>
            <w:r w:rsidR="00CB513E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and cosmopolitanism</w:t>
            </w:r>
            <w:r w:rsidR="00CB513E" w:rsidRPr="00FE37AB">
              <w:rPr>
                <w:rFonts w:ascii="Verdana" w:hAnsi="Verdana"/>
                <w:color w:val="000000"/>
                <w:sz w:val="20"/>
                <w:szCs w:val="20"/>
              </w:rPr>
              <w:t>. London: Routledge.</w:t>
            </w:r>
          </w:p>
          <w:p w14:paraId="19EF35B4" w14:textId="77777777" w:rsidR="003E4117" w:rsidRDefault="00835DFF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4. </w:t>
            </w:r>
            <w:r w:rsidR="00DE51ED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Georgiou, M. (2010). Identity, </w:t>
            </w:r>
            <w:proofErr w:type="gramStart"/>
            <w:r w:rsidR="00DE51ED" w:rsidRPr="00FE37AB">
              <w:rPr>
                <w:rFonts w:ascii="Verdana" w:hAnsi="Verdana"/>
                <w:color w:val="000000"/>
                <w:sz w:val="20"/>
                <w:szCs w:val="20"/>
              </w:rPr>
              <w:t>Space</w:t>
            </w:r>
            <w:proofErr w:type="gramEnd"/>
            <w:r w:rsidR="00DE51ED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 and the Media: Thinking through Diaspora. </w:t>
            </w:r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Revue </w:t>
            </w:r>
            <w:proofErr w:type="spellStart"/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européenne</w:t>
            </w:r>
            <w:proofErr w:type="spellEnd"/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des migrations </w:t>
            </w:r>
            <w:proofErr w:type="spellStart"/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internationales</w:t>
            </w:r>
            <w:proofErr w:type="spellEnd"/>
            <w:r w:rsidR="00DE51ED" w:rsidRPr="00FE37AB">
              <w:rPr>
                <w:rFonts w:ascii="Verdana" w:hAnsi="Verdana"/>
                <w:color w:val="000000"/>
                <w:sz w:val="20"/>
                <w:szCs w:val="20"/>
              </w:rPr>
              <w:t>, 26(1), pp.17–35.</w:t>
            </w:r>
          </w:p>
          <w:p w14:paraId="20C0341F" w14:textId="2E700150" w:rsidR="00835DFF" w:rsidRPr="00FE37AB" w:rsidRDefault="00835DFF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="00590771" w:rsidRPr="00FE37AB">
              <w:rPr>
                <w:rFonts w:ascii="Verdana" w:hAnsi="Verdana"/>
                <w:color w:val="000000"/>
                <w:sz w:val="20"/>
                <w:szCs w:val="20"/>
              </w:rPr>
              <w:t>Kapur</w:t>
            </w:r>
            <w:proofErr w:type="spellEnd"/>
            <w:r w:rsidR="00590771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, D. (2016). Diasporas’ Impacts on Economic Development. Current History, 115(784), 298–304. </w:t>
            </w:r>
            <w:hyperlink r:id="rId10" w:history="1">
              <w:r w:rsidR="00590771" w:rsidRPr="00FE37AB">
                <w:rPr>
                  <w:rStyle w:val="Hyperlink"/>
                  <w:rFonts w:ascii="Verdana" w:hAnsi="Verdana"/>
                  <w:sz w:val="20"/>
                  <w:szCs w:val="20"/>
                </w:rPr>
                <w:t>https://www.jstor.org/stable/48614197</w:t>
              </w:r>
            </w:hyperlink>
            <w:r w:rsidR="00590771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7E4ADADD" w14:textId="77777777" w:rsidR="00FE37AB" w:rsidRPr="00FE37AB" w:rsidRDefault="00FE37AB" w:rsidP="00835DF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5283FFE1" w14:textId="77777777" w:rsidR="003E4117" w:rsidRDefault="00835DFF" w:rsidP="00EB294E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6. </w:t>
            </w:r>
            <w:r w:rsidR="003C4EF2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Chen, X. (2021). Immigrant-owned small businesses’ participation in diaspora philanthropy: a case study during the COVID-19 outbreak. </w:t>
            </w:r>
            <w:r w:rsidR="003C4EF2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New England Journal of Entrepreneurship</w:t>
            </w:r>
            <w:r w:rsidR="003C4EF2" w:rsidRPr="00FE37AB">
              <w:rPr>
                <w:rFonts w:ascii="Verdana" w:hAnsi="Verdana"/>
                <w:color w:val="000000"/>
                <w:sz w:val="20"/>
                <w:szCs w:val="20"/>
              </w:rPr>
              <w:t>, ahead-of-print(ahead-of-print).</w:t>
            </w:r>
          </w:p>
          <w:p w14:paraId="1402CF82" w14:textId="77777777" w:rsidR="003E4117" w:rsidRDefault="003E4117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  <w:r w:rsidR="00835DFF" w:rsidRPr="003E4117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r w:rsidR="00EB294E" w:rsidRPr="003E4117">
              <w:rPr>
                <w:rFonts w:ascii="Verdana" w:hAnsi="Verdana"/>
                <w:color w:val="000000"/>
                <w:sz w:val="20"/>
                <w:szCs w:val="20"/>
              </w:rPr>
              <w:t xml:space="preserve">King, R. and Christou, A. (2010). Cultural geographies of counter-diasporic migration: perspectives from the study of second-generation “returnees” to Greece. </w:t>
            </w:r>
            <w:r w:rsidR="00EB294E" w:rsidRPr="003E4117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Population, Space and Place</w:t>
            </w:r>
            <w:r w:rsidR="00EB294E" w:rsidRPr="003E4117">
              <w:rPr>
                <w:rFonts w:ascii="Verdana" w:hAnsi="Verdana"/>
                <w:color w:val="000000"/>
                <w:sz w:val="20"/>
                <w:szCs w:val="20"/>
              </w:rPr>
              <w:t>, 16(2), pp.103–119.</w:t>
            </w:r>
          </w:p>
          <w:p w14:paraId="03BC24D3" w14:textId="08D5FACA" w:rsidR="002100BE" w:rsidRPr="002100BE" w:rsidRDefault="00835DFF" w:rsidP="003E411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="002100BE" w:rsidRPr="002100BE">
              <w:rPr>
                <w:rFonts w:ascii="Verdana" w:hAnsi="Verdana"/>
                <w:color w:val="000000"/>
                <w:sz w:val="20"/>
                <w:szCs w:val="20"/>
              </w:rPr>
              <w:t>Wessendorf</w:t>
            </w:r>
            <w:proofErr w:type="spellEnd"/>
            <w:r w:rsidR="002100BE" w:rsidRPr="002100BE">
              <w:rPr>
                <w:rFonts w:ascii="Verdana" w:hAnsi="Verdana"/>
                <w:color w:val="000000"/>
                <w:sz w:val="20"/>
                <w:szCs w:val="20"/>
              </w:rPr>
              <w:t>, S. (2007), ‘“Roots-migrants”: Transnationalism and return among second-</w:t>
            </w:r>
          </w:p>
          <w:p w14:paraId="63DD709E" w14:textId="0F170A5D" w:rsidR="002100BE" w:rsidRPr="002100BE" w:rsidRDefault="003E4117" w:rsidP="003E4117">
            <w:pPr>
              <w:pStyle w:val="NormalWeb"/>
              <w:spacing w:before="24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</w:t>
            </w:r>
            <w:r w:rsidR="002100BE" w:rsidRPr="002100BE">
              <w:rPr>
                <w:rFonts w:ascii="Verdana" w:hAnsi="Verdana"/>
                <w:color w:val="000000"/>
                <w:sz w:val="20"/>
                <w:szCs w:val="20"/>
              </w:rPr>
              <w:t>eneration Italians in Switzerland’, Journal of Ethnic and Migration Studies 33 (7): 1083-</w:t>
            </w:r>
          </w:p>
          <w:p w14:paraId="697AFAA0" w14:textId="0E2F1746" w:rsidR="00835DFF" w:rsidRDefault="002100BE" w:rsidP="003E4117">
            <w:pPr>
              <w:pStyle w:val="NormalWeb"/>
              <w:spacing w:before="240" w:beforeAutospacing="0" w:after="0" w:afterAutospacing="0"/>
              <w:jc w:val="both"/>
            </w:pPr>
            <w:r w:rsidRPr="002100BE">
              <w:rPr>
                <w:rFonts w:ascii="Verdana" w:hAnsi="Verdana"/>
                <w:color w:val="000000"/>
                <w:sz w:val="20"/>
                <w:szCs w:val="20"/>
              </w:rPr>
              <w:t>1102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1874697F" w14:textId="77777777" w:rsidR="007123BB" w:rsidRPr="007123BB" w:rsidRDefault="00835DFF" w:rsidP="004719A8">
            <w:pPr>
              <w:pStyle w:val="NormalWeb"/>
              <w:spacing w:before="24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9. </w:t>
            </w:r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 xml:space="preserve">Yamanaka, K. (2000), ‘“I will go home, but </w:t>
            </w:r>
            <w:proofErr w:type="spellStart"/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>when</w:t>
            </w:r>
            <w:proofErr w:type="gramStart"/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>?”Labor</w:t>
            </w:r>
            <w:proofErr w:type="spellEnd"/>
            <w:proofErr w:type="gramEnd"/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 xml:space="preserve"> migration and circular diaspora</w:t>
            </w:r>
          </w:p>
          <w:p w14:paraId="44FFFD16" w14:textId="77777777" w:rsidR="007123BB" w:rsidRPr="007123BB" w:rsidRDefault="007123BB" w:rsidP="004719A8">
            <w:pPr>
              <w:pStyle w:val="NormalWeb"/>
              <w:spacing w:before="24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23BB">
              <w:rPr>
                <w:rFonts w:ascii="Verdana" w:hAnsi="Verdana"/>
                <w:color w:val="000000"/>
                <w:sz w:val="20"/>
                <w:szCs w:val="20"/>
              </w:rPr>
              <w:t>formation by Japanese Brazilians in Japan’, in M. Douglas &amp; G. S. Roberts (eds.),</w:t>
            </w:r>
          </w:p>
          <w:p w14:paraId="38F63272" w14:textId="6EC77D23" w:rsidR="003E4117" w:rsidRDefault="007123BB" w:rsidP="004719A8">
            <w:pPr>
              <w:pStyle w:val="NormalWeb"/>
              <w:spacing w:before="24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23BB">
              <w:rPr>
                <w:rFonts w:ascii="Verdana" w:hAnsi="Verdana"/>
                <w:color w:val="000000"/>
                <w:sz w:val="20"/>
                <w:szCs w:val="20"/>
              </w:rPr>
              <w:t>Japan and Global Migration, 123-152. London: Routledge.</w:t>
            </w:r>
          </w:p>
          <w:p w14:paraId="7618A2AB" w14:textId="77777777" w:rsidR="004719A8" w:rsidRPr="007123BB" w:rsidRDefault="004719A8" w:rsidP="004719A8">
            <w:pPr>
              <w:pStyle w:val="NormalWeb"/>
              <w:spacing w:before="24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C6334B" w14:textId="08118D85" w:rsidR="00835DFF" w:rsidRDefault="00835DFF" w:rsidP="00835DF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02929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r w:rsidR="003E4117" w:rsidRPr="003E41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Bauböck</w:t>
            </w:r>
            <w:proofErr w:type="spellEnd"/>
            <w:r w:rsidR="003E4117" w:rsidRPr="003E41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, R., &amp; </w:t>
            </w:r>
            <w:proofErr w:type="spellStart"/>
            <w:r w:rsidR="003E4117" w:rsidRPr="003E41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Faist</w:t>
            </w:r>
            <w:proofErr w:type="spellEnd"/>
            <w:r w:rsidR="003E4117" w:rsidRPr="003E41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, T. (Eds.). (2010). Diaspora and Transnationalism: Concepts, Theories and Methods. Amsterdam University Press. </w:t>
            </w:r>
            <w:hyperlink r:id="rId11" w:history="1">
              <w:r w:rsidR="004719A8" w:rsidRPr="00972A8F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http://www.jstor.org/stable/j.ctt46mz31</w:t>
              </w:r>
            </w:hyperlink>
            <w:r w:rsidR="004719A8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246ED1A7" w14:textId="4A6DBF32" w:rsidR="005B7A5D" w:rsidRDefault="005B7A5D" w:rsidP="00835DF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F4CBE99" w14:textId="36509112" w:rsidR="005B7A5D" w:rsidRPr="005B7A5D" w:rsidRDefault="005B7A5D" w:rsidP="00835DF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11. </w:t>
            </w:r>
            <w:r w:rsidRPr="005B7A5D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Cohen, R. (1996). Diasporas and the Nation-State: From Victims to Challengers. International Affairs (Royal Institute of International Affairs 1944-), 72(3), 507–520. </w:t>
            </w:r>
            <w:hyperlink r:id="rId12" w:history="1">
              <w:r w:rsidRPr="00972A8F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https://doi.org/10.2307/2625554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624AC05A" w14:textId="1A264CA2" w:rsidR="001F1504" w:rsidRPr="00475CBD" w:rsidRDefault="001F1504" w:rsidP="0098191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804835" w14:paraId="7F31D0CA" w14:textId="77777777" w:rsidTr="003E3414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A60" w14:textId="6AA6185D" w:rsidR="006B2A39" w:rsidRPr="00475CBD" w:rsidRDefault="004953B3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D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EE5" w14:textId="0C5A27F8" w:rsidR="00703153" w:rsidRPr="00703153" w:rsidRDefault="00322FB8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Assessment methods for the intended learning outcomes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79BC0412" w14:textId="08EA4CAC" w:rsidR="006B2A39" w:rsidRDefault="00703153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03153">
              <w:rPr>
                <w:rFonts w:ascii="Verdana" w:hAnsi="Verdana"/>
                <w:sz w:val="20"/>
                <w:szCs w:val="20"/>
                <w:lang w:val="en-US"/>
              </w:rPr>
              <w:t>- oral presentation</w:t>
            </w:r>
            <w:r w:rsidR="00BD216F">
              <w:rPr>
                <w:rFonts w:ascii="Verdana" w:hAnsi="Verdana"/>
                <w:sz w:val="20"/>
                <w:szCs w:val="20"/>
                <w:lang w:val="en-US"/>
              </w:rPr>
              <w:t xml:space="preserve"> of 15 minutes </w:t>
            </w:r>
            <w:r w:rsidRPr="00703153">
              <w:rPr>
                <w:rFonts w:ascii="Verdana" w:hAnsi="Verdana"/>
                <w:sz w:val="20"/>
                <w:szCs w:val="20"/>
                <w:lang w:val="en-US"/>
              </w:rPr>
              <w:t>(individual or group)</w:t>
            </w:r>
          </w:p>
          <w:p w14:paraId="6D5C0B7E" w14:textId="1A20546F" w:rsidR="00B65D4D" w:rsidRPr="00475CBD" w:rsidRDefault="00B65D4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3506FF">
              <w:rPr>
                <w:rFonts w:ascii="Verdana" w:hAnsi="Verdana"/>
                <w:sz w:val="20"/>
                <w:szCs w:val="20"/>
                <w:lang w:val="en-US"/>
              </w:rPr>
              <w:t>final term paper, 2.500- 3.000 words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(individual)</w:t>
            </w:r>
          </w:p>
        </w:tc>
      </w:tr>
      <w:tr w:rsidR="006B2A39" w:rsidRPr="00DA5973" w14:paraId="53FB7852" w14:textId="77777777" w:rsidTr="003E3414">
        <w:trPr>
          <w:trHeight w:val="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481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82E" w14:textId="3FC592CF" w:rsidR="00703153" w:rsidRDefault="00A366F9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475CB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Credit requirements for individual components of the course/module</w:t>
            </w:r>
            <w:r w:rsid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:</w:t>
            </w:r>
          </w:p>
          <w:p w14:paraId="199DEE5C" w14:textId="77777777" w:rsidR="00104A22" w:rsidRDefault="00104A22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  <w:p w14:paraId="56FB4112" w14:textId="5E995CCD" w:rsidR="00703153" w:rsidRDefault="00703153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30% of</w:t>
            </w:r>
            <w:r w:rsidR="00E0511E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the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final grade:</w:t>
            </w:r>
          </w:p>
          <w:p w14:paraId="69BA25C2" w14:textId="77777777" w:rsidR="00703153" w:rsidRPr="00703153" w:rsidRDefault="00703153" w:rsidP="007031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- monitoring attendance and progress on the course subject matter</w:t>
            </w:r>
          </w:p>
          <w:p w14:paraId="25476662" w14:textId="3916C9C1" w:rsidR="00703153" w:rsidRDefault="00703153" w:rsidP="007031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- oral presentation </w:t>
            </w:r>
            <w:r w:rsidR="00BD216F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of</w:t>
            </w:r>
            <w:r w:rsidR="00E80FB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15 minutes </w:t>
            </w: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(individual or group)</w:t>
            </w:r>
          </w:p>
          <w:p w14:paraId="4FEC8560" w14:textId="77777777" w:rsidR="00104A22" w:rsidRDefault="00104A22" w:rsidP="007031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  <w:p w14:paraId="01088DBA" w14:textId="3273920A" w:rsidR="00703153" w:rsidRDefault="00703153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70% of</w:t>
            </w:r>
            <w:r w:rsidR="00E0511E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the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final grade:</w:t>
            </w:r>
          </w:p>
          <w:p w14:paraId="4A943DC3" w14:textId="2A53F082" w:rsidR="00B65D4D" w:rsidRDefault="00B65D4D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-Final </w:t>
            </w:r>
            <w:r w:rsidR="00CA7841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term paper</w:t>
            </w:r>
            <w:r w:rsidR="006A25A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, </w:t>
            </w:r>
            <w:r w:rsidR="003506FF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2</w:t>
            </w:r>
            <w:r w:rsidR="006A25A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.500-</w:t>
            </w:r>
            <w:r w:rsidR="003506FF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3</w:t>
            </w:r>
            <w:r w:rsidR="006A25A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.000 words</w:t>
            </w:r>
          </w:p>
          <w:p w14:paraId="0B4AD2B0" w14:textId="3570C2A7" w:rsidR="00104155" w:rsidRPr="00104155" w:rsidRDefault="00104155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All papers </w:t>
            </w:r>
            <w:r w:rsidR="00E34A93"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must</w:t>
            </w:r>
            <w:r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be submitted in 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an </w:t>
            </w:r>
            <w:r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electronic form.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Plagiarism will </w:t>
            </w:r>
            <w:r w:rsidR="00E34A9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be checked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. </w:t>
            </w:r>
          </w:p>
          <w:p w14:paraId="42860D0D" w14:textId="77777777" w:rsidR="00B65D4D" w:rsidRPr="00B65D4D" w:rsidRDefault="00B65D4D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  <w:p w14:paraId="3854FD84" w14:textId="77777777" w:rsidR="006B2A39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Grading scale:</w:t>
            </w:r>
          </w:p>
          <w:p w14:paraId="6CF4B4F9" w14:textId="0317EFEE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100-90% - 5</w:t>
            </w:r>
          </w:p>
          <w:p w14:paraId="02CFA06F" w14:textId="356341B8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89-84 % - 4.5 </w:t>
            </w:r>
          </w:p>
          <w:p w14:paraId="724A6C0E" w14:textId="3ABC6D45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83-75% - 4.0</w:t>
            </w:r>
          </w:p>
          <w:p w14:paraId="2C205BF6" w14:textId="60715BE2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74-69 % - 3.5 </w:t>
            </w:r>
          </w:p>
          <w:p w14:paraId="7074B51F" w14:textId="5C0EFF3F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68-60% - 3.0</w:t>
            </w:r>
          </w:p>
          <w:p w14:paraId="1943AAC8" w14:textId="7644C96A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59% and less - fail</w:t>
            </w:r>
          </w:p>
        </w:tc>
      </w:tr>
      <w:tr w:rsidR="006B2A39" w:rsidRPr="00C25B0E" w14:paraId="06B18DEB" w14:textId="77777777" w:rsidTr="003E3414">
        <w:trPr>
          <w:trHeight w:val="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E6F" w14:textId="2BAF89D6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B3" w14:textId="77777777" w:rsidR="006B2A39" w:rsidRPr="00C25B0E" w:rsidRDefault="00D36549" w:rsidP="000F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Student's workload</w:t>
            </w:r>
          </w:p>
        </w:tc>
      </w:tr>
      <w:tr w:rsidR="006B2A39" w:rsidRPr="00804835" w14:paraId="3E81691B" w14:textId="77777777" w:rsidTr="003E3414">
        <w:trPr>
          <w:trHeight w:val="1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082" w14:textId="77777777"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7A6" w14:textId="77777777" w:rsidR="006B2A39" w:rsidRPr="00C25B0E" w:rsidRDefault="00FB40C9" w:rsidP="000F6CA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student's</w:t>
            </w:r>
            <w:r w:rsidR="000F6CA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activities*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EC6" w14:textId="77777777" w:rsidR="006B2A39" w:rsidRPr="00475CBD" w:rsidRDefault="00FB40C9" w:rsidP="005A15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6B2A39" w:rsidRPr="00C25B0E" w14:paraId="71EA47AA" w14:textId="77777777" w:rsidTr="003E3414">
        <w:trPr>
          <w:trHeight w:val="4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F39" w14:textId="77777777" w:rsidR="006B2A39" w:rsidRPr="00475CB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C16" w14:textId="77777777" w:rsidR="002A2575" w:rsidRPr="009C206A" w:rsidRDefault="002A2575" w:rsidP="002A257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14:paraId="0116B263" w14:textId="3504FA74" w:rsidR="006B2A39" w:rsidRPr="00ED3B79" w:rsidRDefault="006B2A39" w:rsidP="003B2E9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BE2E37" w:rsidRPr="00475CBD">
              <w:rPr>
                <w:rFonts w:ascii="Verdana" w:hAnsi="Verdana"/>
                <w:sz w:val="20"/>
                <w:szCs w:val="20"/>
                <w:lang w:val="en-US"/>
              </w:rPr>
              <w:t>classes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D3D" w14:textId="77777777" w:rsidR="005267A3" w:rsidRDefault="005267A3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7D79451" w14:textId="77777777" w:rsidR="005267A3" w:rsidRDefault="005267A3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C620EF" w14:textId="38D69DF7" w:rsidR="006B2A39" w:rsidRPr="00C25B0E" w:rsidRDefault="00B65D4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ED3B79">
              <w:rPr>
                <w:rFonts w:ascii="Verdana" w:hAnsi="Verdana"/>
                <w:sz w:val="20"/>
                <w:szCs w:val="20"/>
              </w:rPr>
              <w:t>h</w:t>
            </w:r>
            <w:r w:rsidR="0096503B">
              <w:rPr>
                <w:rFonts w:ascii="Verdana" w:hAnsi="Verdana"/>
                <w:sz w:val="20"/>
                <w:szCs w:val="20"/>
              </w:rPr>
              <w:t>rs</w:t>
            </w:r>
          </w:p>
        </w:tc>
      </w:tr>
      <w:tr w:rsidR="006B2A39" w:rsidRPr="00987344" w14:paraId="40F83B41" w14:textId="77777777" w:rsidTr="003E3414">
        <w:trPr>
          <w:trHeight w:val="5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E11" w14:textId="77777777"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F04" w14:textId="77777777" w:rsidR="00A73238" w:rsidRPr="009C206A" w:rsidRDefault="00A73238" w:rsidP="00A7323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student's/PhD student's</w:t>
            </w:r>
            <w:r w:rsidR="00C42D7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*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own work (including group-work) such as:</w:t>
            </w:r>
          </w:p>
          <w:p w14:paraId="005F21F5" w14:textId="77777777" w:rsidR="006B2A39" w:rsidRPr="00475CBD" w:rsidRDefault="006B2A39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CA65BA4" w14:textId="77777777"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lastRenderedPageBreak/>
              <w:t xml:space="preserve">- 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being prepared for classes:</w:t>
            </w:r>
          </w:p>
          <w:p w14:paraId="75167FCA" w14:textId="77777777"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</w:t>
            </w:r>
          </w:p>
          <w:p w14:paraId="0A3EA5C5" w14:textId="0860C2F5" w:rsidR="00D81015" w:rsidRDefault="00D81015" w:rsidP="00D8101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preparing </w:t>
            </w:r>
            <w:r w:rsidR="000E6B2A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oral presentation</w:t>
            </w:r>
          </w:p>
          <w:p w14:paraId="0323E323" w14:textId="6A834E6B" w:rsidR="000E6B2A" w:rsidRPr="00ED3B79" w:rsidRDefault="000E6B2A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 final essay</w:t>
            </w:r>
          </w:p>
          <w:p w14:paraId="206A3B5A" w14:textId="77777777" w:rsidR="006B2A39" w:rsidRPr="00475CB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E51" w14:textId="77777777" w:rsidR="006B2A3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36AADE7" w14:textId="77777777" w:rsidR="00ED3B79" w:rsidRDefault="00ED3B7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91A24D5" w14:textId="77777777" w:rsidR="00ED3B79" w:rsidRDefault="00ED3B7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445C48E" w14:textId="0292A7C6" w:rsidR="00ED3B79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30</w:t>
            </w:r>
          </w:p>
          <w:p w14:paraId="4B3ED871" w14:textId="28EDF3BB" w:rsidR="00ED3B79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  <w:p w14:paraId="23B4C9FF" w14:textId="77777777" w:rsidR="00ED3B79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  <w:p w14:paraId="2673BBCC" w14:textId="04F90DD2" w:rsidR="000E6B2A" w:rsidRPr="00475CBD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</w:tr>
      <w:tr w:rsidR="006B2A39" w:rsidRPr="00864E2D" w14:paraId="43CA7700" w14:textId="77777777" w:rsidTr="003E3414">
        <w:trPr>
          <w:trHeight w:val="1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4A8" w14:textId="69B5F807" w:rsidR="006B2A39" w:rsidRPr="00475CB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4EB" w14:textId="77777777" w:rsidR="006B2A39" w:rsidRPr="00864E2D" w:rsidRDefault="005F12F5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number of hours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494" w14:textId="5AF1C6B4" w:rsidR="006B2A39" w:rsidRPr="00864E2D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 hrs</w:t>
            </w:r>
          </w:p>
        </w:tc>
      </w:tr>
      <w:tr w:rsidR="006B2A39" w:rsidRPr="00987344" w14:paraId="20F44AC5" w14:textId="77777777" w:rsidTr="003E3414">
        <w:trPr>
          <w:trHeight w:val="1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E8B" w14:textId="77777777" w:rsidR="006B2A39" w:rsidRPr="00864E2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8A4" w14:textId="77777777" w:rsidR="006B2A39" w:rsidRPr="00475CBD" w:rsidRDefault="00B3742F" w:rsidP="005877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Number of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ECTS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87767" w:rsidRPr="00475CBD">
              <w:rPr>
                <w:rFonts w:ascii="Verdana" w:hAnsi="Verdana"/>
                <w:sz w:val="20"/>
                <w:szCs w:val="20"/>
                <w:lang w:val="en-US"/>
              </w:rPr>
              <w:t>credits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475CBD">
              <w:rPr>
                <w:rFonts w:ascii="Verdana" w:hAnsi="Verdana"/>
                <w:i/>
                <w:sz w:val="20"/>
                <w:szCs w:val="20"/>
                <w:lang w:val="en-US"/>
              </w:rPr>
              <w:t>if required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5DE" w14:textId="158CE257" w:rsidR="006B2A39" w:rsidRPr="00475CBD" w:rsidRDefault="0096503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3CB4E09F" w14:textId="12F319D7" w:rsidR="006B2A39" w:rsidRPr="00475CBD" w:rsidRDefault="006B2A39" w:rsidP="00ED3B79">
      <w:pPr>
        <w:spacing w:after="0" w:line="240" w:lineRule="auto"/>
        <w:rPr>
          <w:rFonts w:ascii="Verdana" w:hAnsi="Verdana"/>
          <w:sz w:val="16"/>
          <w:szCs w:val="20"/>
          <w:lang w:val="en-US"/>
        </w:rPr>
      </w:pPr>
    </w:p>
    <w:p w14:paraId="021A11BA" w14:textId="77777777" w:rsidR="00614D87" w:rsidRPr="00475CBD" w:rsidRDefault="00614D87">
      <w:pPr>
        <w:rPr>
          <w:lang w:val="en-US"/>
        </w:rPr>
      </w:pPr>
    </w:p>
    <w:sectPr w:rsidR="00614D87" w:rsidRPr="00475CBD" w:rsidSect="00FC5E6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AC"/>
    <w:multiLevelType w:val="hybridMultilevel"/>
    <w:tmpl w:val="4F34D522"/>
    <w:lvl w:ilvl="0" w:tplc="E58E258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27761"/>
    <w:multiLevelType w:val="hybridMultilevel"/>
    <w:tmpl w:val="115EB43E"/>
    <w:lvl w:ilvl="0" w:tplc="FB4079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109C"/>
    <w:multiLevelType w:val="hybridMultilevel"/>
    <w:tmpl w:val="EE1E9688"/>
    <w:lvl w:ilvl="0" w:tplc="8C0ADC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50E7A"/>
    <w:multiLevelType w:val="hybridMultilevel"/>
    <w:tmpl w:val="EE1E9688"/>
    <w:lvl w:ilvl="0" w:tplc="8C0ADC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86243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562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280673">
    <w:abstractNumId w:val="4"/>
  </w:num>
  <w:num w:numId="4" w16cid:durableId="1624070117">
    <w:abstractNumId w:val="3"/>
  </w:num>
  <w:num w:numId="5" w16cid:durableId="169024546">
    <w:abstractNumId w:val="0"/>
  </w:num>
  <w:num w:numId="6" w16cid:durableId="94280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39"/>
    <w:rsid w:val="000145EF"/>
    <w:rsid w:val="00027E14"/>
    <w:rsid w:val="0004733C"/>
    <w:rsid w:val="00056D8D"/>
    <w:rsid w:val="00062480"/>
    <w:rsid w:val="00072CC9"/>
    <w:rsid w:val="000A0667"/>
    <w:rsid w:val="000D12EA"/>
    <w:rsid w:val="000E6B2A"/>
    <w:rsid w:val="000F6CA6"/>
    <w:rsid w:val="00104155"/>
    <w:rsid w:val="00104A22"/>
    <w:rsid w:val="00123024"/>
    <w:rsid w:val="001303B6"/>
    <w:rsid w:val="00141BA7"/>
    <w:rsid w:val="001528BF"/>
    <w:rsid w:val="0017174C"/>
    <w:rsid w:val="001B303E"/>
    <w:rsid w:val="001C63C1"/>
    <w:rsid w:val="001D4DC5"/>
    <w:rsid w:val="001D5503"/>
    <w:rsid w:val="001F1504"/>
    <w:rsid w:val="002100BE"/>
    <w:rsid w:val="00215D10"/>
    <w:rsid w:val="00217298"/>
    <w:rsid w:val="00226EA3"/>
    <w:rsid w:val="00240178"/>
    <w:rsid w:val="00247612"/>
    <w:rsid w:val="00272AF1"/>
    <w:rsid w:val="002A2575"/>
    <w:rsid w:val="002A437D"/>
    <w:rsid w:val="00322FB8"/>
    <w:rsid w:val="00332F0A"/>
    <w:rsid w:val="0033561B"/>
    <w:rsid w:val="00342D68"/>
    <w:rsid w:val="00346DDC"/>
    <w:rsid w:val="003506FF"/>
    <w:rsid w:val="00367C08"/>
    <w:rsid w:val="00380381"/>
    <w:rsid w:val="0038592A"/>
    <w:rsid w:val="003B2E95"/>
    <w:rsid w:val="003C4EF2"/>
    <w:rsid w:val="003D1A9D"/>
    <w:rsid w:val="003E3414"/>
    <w:rsid w:val="003E4117"/>
    <w:rsid w:val="00403BA6"/>
    <w:rsid w:val="00411B96"/>
    <w:rsid w:val="00412F99"/>
    <w:rsid w:val="00413BA0"/>
    <w:rsid w:val="00444A85"/>
    <w:rsid w:val="004719A8"/>
    <w:rsid w:val="00475CBD"/>
    <w:rsid w:val="004953B3"/>
    <w:rsid w:val="004B1F0E"/>
    <w:rsid w:val="004B5963"/>
    <w:rsid w:val="004C7793"/>
    <w:rsid w:val="004F6F61"/>
    <w:rsid w:val="005260BF"/>
    <w:rsid w:val="005267A3"/>
    <w:rsid w:val="005351CC"/>
    <w:rsid w:val="00560C24"/>
    <w:rsid w:val="00563674"/>
    <w:rsid w:val="005742B1"/>
    <w:rsid w:val="00587767"/>
    <w:rsid w:val="00590771"/>
    <w:rsid w:val="005969F3"/>
    <w:rsid w:val="005A2229"/>
    <w:rsid w:val="005A5DBD"/>
    <w:rsid w:val="005B19EA"/>
    <w:rsid w:val="005B7A5D"/>
    <w:rsid w:val="005C0977"/>
    <w:rsid w:val="005D3D5B"/>
    <w:rsid w:val="005F12F5"/>
    <w:rsid w:val="005F49B4"/>
    <w:rsid w:val="00614D87"/>
    <w:rsid w:val="00617612"/>
    <w:rsid w:val="006251B7"/>
    <w:rsid w:val="00630BE2"/>
    <w:rsid w:val="00634BCF"/>
    <w:rsid w:val="00681D83"/>
    <w:rsid w:val="00682E8C"/>
    <w:rsid w:val="00696175"/>
    <w:rsid w:val="006A25A3"/>
    <w:rsid w:val="006B2A39"/>
    <w:rsid w:val="006B4013"/>
    <w:rsid w:val="006D3274"/>
    <w:rsid w:val="006D7D39"/>
    <w:rsid w:val="006E40C4"/>
    <w:rsid w:val="00700C8F"/>
    <w:rsid w:val="00703153"/>
    <w:rsid w:val="007123BB"/>
    <w:rsid w:val="00712A5F"/>
    <w:rsid w:val="00713444"/>
    <w:rsid w:val="00715D8A"/>
    <w:rsid w:val="007174FB"/>
    <w:rsid w:val="00725497"/>
    <w:rsid w:val="0073761F"/>
    <w:rsid w:val="00753F98"/>
    <w:rsid w:val="0078259F"/>
    <w:rsid w:val="007B14E0"/>
    <w:rsid w:val="007B3CD2"/>
    <w:rsid w:val="007C4748"/>
    <w:rsid w:val="007C49FB"/>
    <w:rsid w:val="007F4772"/>
    <w:rsid w:val="007F6ED9"/>
    <w:rsid w:val="00804835"/>
    <w:rsid w:val="00835DFF"/>
    <w:rsid w:val="00836116"/>
    <w:rsid w:val="00846D11"/>
    <w:rsid w:val="00853F92"/>
    <w:rsid w:val="00855DE6"/>
    <w:rsid w:val="008629C0"/>
    <w:rsid w:val="0088378A"/>
    <w:rsid w:val="008874CF"/>
    <w:rsid w:val="008C50E8"/>
    <w:rsid w:val="00912749"/>
    <w:rsid w:val="009239E1"/>
    <w:rsid w:val="009307A6"/>
    <w:rsid w:val="009349B1"/>
    <w:rsid w:val="00943F59"/>
    <w:rsid w:val="0096503B"/>
    <w:rsid w:val="0098191D"/>
    <w:rsid w:val="00987344"/>
    <w:rsid w:val="00993F35"/>
    <w:rsid w:val="00995C0B"/>
    <w:rsid w:val="00995E22"/>
    <w:rsid w:val="0099657D"/>
    <w:rsid w:val="009A6B28"/>
    <w:rsid w:val="00A01586"/>
    <w:rsid w:val="00A01960"/>
    <w:rsid w:val="00A02929"/>
    <w:rsid w:val="00A10EB0"/>
    <w:rsid w:val="00A3227A"/>
    <w:rsid w:val="00A366F9"/>
    <w:rsid w:val="00A37BFB"/>
    <w:rsid w:val="00A73238"/>
    <w:rsid w:val="00A75926"/>
    <w:rsid w:val="00A935D5"/>
    <w:rsid w:val="00AA25D1"/>
    <w:rsid w:val="00AA5211"/>
    <w:rsid w:val="00AE6A6C"/>
    <w:rsid w:val="00AE7023"/>
    <w:rsid w:val="00AF2A3A"/>
    <w:rsid w:val="00B1131D"/>
    <w:rsid w:val="00B33541"/>
    <w:rsid w:val="00B3742F"/>
    <w:rsid w:val="00B42A9D"/>
    <w:rsid w:val="00B6509A"/>
    <w:rsid w:val="00B65D4D"/>
    <w:rsid w:val="00B66BE1"/>
    <w:rsid w:val="00BA2938"/>
    <w:rsid w:val="00BA7FDD"/>
    <w:rsid w:val="00BD216F"/>
    <w:rsid w:val="00BE2E37"/>
    <w:rsid w:val="00BE40AF"/>
    <w:rsid w:val="00C03D5E"/>
    <w:rsid w:val="00C24F25"/>
    <w:rsid w:val="00C42ABA"/>
    <w:rsid w:val="00C42D75"/>
    <w:rsid w:val="00CA11F3"/>
    <w:rsid w:val="00CA7841"/>
    <w:rsid w:val="00CB513E"/>
    <w:rsid w:val="00D078C0"/>
    <w:rsid w:val="00D21C9E"/>
    <w:rsid w:val="00D23ADB"/>
    <w:rsid w:val="00D36549"/>
    <w:rsid w:val="00D41810"/>
    <w:rsid w:val="00D459CF"/>
    <w:rsid w:val="00D562A6"/>
    <w:rsid w:val="00D75632"/>
    <w:rsid w:val="00D81015"/>
    <w:rsid w:val="00DA5973"/>
    <w:rsid w:val="00DD1ABE"/>
    <w:rsid w:val="00DE51ED"/>
    <w:rsid w:val="00E0511E"/>
    <w:rsid w:val="00E11796"/>
    <w:rsid w:val="00E34A93"/>
    <w:rsid w:val="00E3665F"/>
    <w:rsid w:val="00E55E5B"/>
    <w:rsid w:val="00E80FB7"/>
    <w:rsid w:val="00EB0831"/>
    <w:rsid w:val="00EB294E"/>
    <w:rsid w:val="00EB687C"/>
    <w:rsid w:val="00ED3B79"/>
    <w:rsid w:val="00EE032C"/>
    <w:rsid w:val="00EE095E"/>
    <w:rsid w:val="00F071FA"/>
    <w:rsid w:val="00F10B1F"/>
    <w:rsid w:val="00F10F0C"/>
    <w:rsid w:val="00F17030"/>
    <w:rsid w:val="00F23C6C"/>
    <w:rsid w:val="00F25A7E"/>
    <w:rsid w:val="00F32B05"/>
    <w:rsid w:val="00F43567"/>
    <w:rsid w:val="00F462AB"/>
    <w:rsid w:val="00F60E2B"/>
    <w:rsid w:val="00F6415A"/>
    <w:rsid w:val="00F70EDC"/>
    <w:rsid w:val="00F77B2A"/>
    <w:rsid w:val="00F83362"/>
    <w:rsid w:val="00FB0D24"/>
    <w:rsid w:val="00FB40C9"/>
    <w:rsid w:val="00FD6269"/>
    <w:rsid w:val="00FE37AB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ACC8"/>
  <w15:chartTrackingRefBased/>
  <w15:docId w15:val="{CA61A89D-DB2E-46EC-8C62-CB238EF3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39"/>
    <w:pPr>
      <w:spacing w:after="160" w:line="259" w:lineRule="auto"/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39"/>
    <w:pPr>
      <w:spacing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9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ini.aivaliotou@uwr.edu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2307/26255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stor.org/stable/j.ctt46mz3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jstor.org/stable/4861419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jstor.org/stable/245108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45BB15EBE7584DA6CD114B7EBB8E0B" ma:contentTypeVersion="4" ma:contentTypeDescription="Utwórz nowy dokument." ma:contentTypeScope="" ma:versionID="74a1aa6ec530a9ea1c6e636effa238e1">
  <xsd:schema xmlns:xsd="http://www.w3.org/2001/XMLSchema" xmlns:xs="http://www.w3.org/2001/XMLSchema" xmlns:p="http://schemas.microsoft.com/office/2006/metadata/properties" xmlns:ns2="d448033f-6250-49be-9b84-7fcdb5ebcbec" targetNamespace="http://schemas.microsoft.com/office/2006/metadata/properties" ma:root="true" ma:fieldsID="4e5f744366c926c784d210dc2b4a7e35" ns2:_="">
    <xsd:import namespace="d448033f-6250-49be-9b84-7fcdb5ebc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8033f-6250-49be-9b84-7fcdb5ebc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7843B-2CAB-471C-87B7-2F08AF2C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1EDE6-3E01-4FD3-A5DA-57F477E55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3677B0-854D-44F9-908B-786BC4DB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8033f-6250-49be-9b84-7fcdb5ebc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eirini eirini</cp:lastModifiedBy>
  <cp:revision>2</cp:revision>
  <dcterms:created xsi:type="dcterms:W3CDTF">2023-07-03T11:23:00Z</dcterms:created>
  <dcterms:modified xsi:type="dcterms:W3CDTF">2023-07-03T11:23:00Z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0x0101004C45BB15EBE7584DA6CD114B7EBB8E0B</vt:lpwstr>
  </property>
</Properties>
</file>